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06" w:rsidRDefault="00593E06" w:rsidP="00593E06">
      <w:pPr>
        <w:jc w:val="center"/>
        <w:rPr>
          <w:rFonts w:cs="Arial"/>
          <w:szCs w:val="22"/>
        </w:rPr>
      </w:pPr>
      <w:proofErr w:type="spellStart"/>
      <w:r>
        <w:rPr>
          <w:b/>
          <w:bCs/>
          <w:sz w:val="28"/>
          <w:szCs w:val="28"/>
        </w:rPr>
        <w:t>Zmluva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spracovaní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osobných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údajov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prostredníctvom</w:t>
      </w:r>
      <w:proofErr w:type="spellEnd"/>
      <w:r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sprostredkovateľa</w:t>
      </w:r>
      <w:proofErr w:type="spellEnd"/>
    </w:p>
    <w:p w:rsidR="00593E06" w:rsidRDefault="00593E06" w:rsidP="00593E06">
      <w:pPr>
        <w:jc w:val="center"/>
        <w:rPr>
          <w:rFonts w:cs="Arial"/>
          <w:szCs w:val="22"/>
        </w:rPr>
      </w:pPr>
    </w:p>
    <w:p w:rsidR="00593E06" w:rsidRDefault="00593E06" w:rsidP="00593E06">
      <w:pPr>
        <w:jc w:val="center"/>
        <w:rPr>
          <w:rFonts w:cs="Arial"/>
        </w:rPr>
      </w:pPr>
      <w:proofErr w:type="spellStart"/>
      <w:r>
        <w:rPr>
          <w:rFonts w:cs="Arial"/>
          <w:szCs w:val="22"/>
        </w:rPr>
        <w:t>podľa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ustanovenia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čl</w:t>
      </w:r>
      <w:proofErr w:type="spellEnd"/>
      <w:r>
        <w:rPr>
          <w:rFonts w:cs="Arial"/>
          <w:szCs w:val="22"/>
        </w:rPr>
        <w:t xml:space="preserve">. 28 </w:t>
      </w:r>
      <w:proofErr w:type="spellStart"/>
      <w:r>
        <w:rPr>
          <w:rFonts w:cs="Arial"/>
          <w:szCs w:val="22"/>
        </w:rPr>
        <w:t>Nariadenia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Európskeho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Parlamentu</w:t>
      </w:r>
      <w:proofErr w:type="spellEnd"/>
      <w:r>
        <w:rPr>
          <w:rFonts w:cs="Arial"/>
          <w:szCs w:val="22"/>
        </w:rPr>
        <w:t xml:space="preserve"> A Rady (EÚ) 2016/679</w:t>
      </w:r>
    </w:p>
    <w:p w:rsidR="00593E06" w:rsidRDefault="00593E06" w:rsidP="00593E06">
      <w:pPr>
        <w:rPr>
          <w:rFonts w:cs="Arial"/>
        </w:rPr>
      </w:pPr>
    </w:p>
    <w:p w:rsidR="00593E06" w:rsidRDefault="00593E06" w:rsidP="00593E06">
      <w:pPr>
        <w:rPr>
          <w:rFonts w:cs="Arial"/>
        </w:rPr>
      </w:pPr>
    </w:p>
    <w:p w:rsidR="00593E06" w:rsidRDefault="00593E06" w:rsidP="00593E06">
      <w:pPr>
        <w:rPr>
          <w:rFonts w:cs="Arial"/>
        </w:rPr>
      </w:pPr>
      <w:proofErr w:type="spellStart"/>
      <w:r>
        <w:rPr>
          <w:rFonts w:cs="Arial"/>
          <w:b/>
          <w:bCs/>
        </w:rPr>
        <w:t>Zmluvné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strany</w:t>
      </w:r>
      <w:proofErr w:type="spellEnd"/>
      <w:r w:rsidR="00825CC4">
        <w:rPr>
          <w:rFonts w:cs="Arial"/>
          <w:b/>
          <w:bCs/>
        </w:rPr>
        <w:t>:</w:t>
      </w:r>
    </w:p>
    <w:p w:rsidR="00593E06" w:rsidRDefault="00593E06" w:rsidP="00593E06">
      <w:pPr>
        <w:rPr>
          <w:rFonts w:cs="Arial"/>
        </w:rPr>
      </w:pPr>
    </w:p>
    <w:p w:rsidR="00593E06" w:rsidRDefault="00593E06" w:rsidP="00593E06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Prevádzkovateľ</w:t>
      </w:r>
      <w:proofErr w:type="spellEnd"/>
    </w:p>
    <w:p w:rsidR="00593E06" w:rsidRDefault="00593E06" w:rsidP="00593E0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Obchodné </w:t>
      </w:r>
      <w:proofErr w:type="spellStart"/>
      <w:r>
        <w:rPr>
          <w:rFonts w:cs="Arial"/>
          <w:shd w:val="clear" w:color="auto" w:fill="FFFFFF"/>
        </w:rPr>
        <w:t>meno</w:t>
      </w:r>
      <w:proofErr w:type="spellEnd"/>
      <w:r>
        <w:rPr>
          <w:rFonts w:cs="Arial"/>
          <w:shd w:val="clear" w:color="auto" w:fill="FFFFFF"/>
        </w:rPr>
        <w:t>: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 w:rsidR="004D4E1D">
        <w:rPr>
          <w:rFonts w:cs="Arial"/>
          <w:shd w:val="clear" w:color="auto" w:fill="FFFFFF"/>
        </w:rPr>
        <w:t>Obec</w:t>
      </w:r>
      <w:proofErr w:type="spellEnd"/>
      <w:r w:rsidR="004D4E1D">
        <w:rPr>
          <w:rFonts w:cs="Arial"/>
          <w:shd w:val="clear" w:color="auto" w:fill="FFFFFF"/>
        </w:rPr>
        <w:t xml:space="preserve"> </w:t>
      </w:r>
      <w:proofErr w:type="spellStart"/>
      <w:r w:rsidR="004D4E1D">
        <w:rPr>
          <w:rFonts w:cs="Arial"/>
          <w:shd w:val="clear" w:color="auto" w:fill="FFFFFF"/>
        </w:rPr>
        <w:t>Turčiansky</w:t>
      </w:r>
      <w:proofErr w:type="spellEnd"/>
      <w:r w:rsidR="004D4E1D">
        <w:rPr>
          <w:rFonts w:cs="Arial"/>
          <w:shd w:val="clear" w:color="auto" w:fill="FFFFFF"/>
        </w:rPr>
        <w:t xml:space="preserve"> Peter</w:t>
      </w:r>
      <w:r>
        <w:rPr>
          <w:rFonts w:cs="Arial"/>
          <w:shd w:val="clear" w:color="auto" w:fill="FFFFFF"/>
        </w:rPr>
        <w:tab/>
      </w:r>
    </w:p>
    <w:p w:rsidR="00593E06" w:rsidRDefault="00593E06" w:rsidP="00593E06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Sídlo</w:t>
      </w:r>
      <w:proofErr w:type="spellEnd"/>
      <w:r>
        <w:rPr>
          <w:rFonts w:cs="Arial"/>
          <w:shd w:val="clear" w:color="auto" w:fill="FFFFFF"/>
        </w:rPr>
        <w:t>: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 w:rsidR="004D4E1D">
        <w:rPr>
          <w:rFonts w:cs="Arial"/>
          <w:shd w:val="clear" w:color="auto" w:fill="FFFFFF"/>
        </w:rPr>
        <w:t>Turčiansky</w:t>
      </w:r>
      <w:proofErr w:type="spellEnd"/>
      <w:r w:rsidR="004D4E1D">
        <w:rPr>
          <w:rFonts w:cs="Arial"/>
          <w:shd w:val="clear" w:color="auto" w:fill="FFFFFF"/>
        </w:rPr>
        <w:t xml:space="preserve"> Peter </w:t>
      </w:r>
      <w:proofErr w:type="gramStart"/>
      <w:r w:rsidR="004D4E1D">
        <w:rPr>
          <w:rFonts w:cs="Arial"/>
          <w:shd w:val="clear" w:color="auto" w:fill="FFFFFF"/>
        </w:rPr>
        <w:t>č.2 ,</w:t>
      </w:r>
      <w:proofErr w:type="gramEnd"/>
      <w:r w:rsidR="00504971">
        <w:rPr>
          <w:rFonts w:cs="Arial"/>
          <w:shd w:val="clear" w:color="auto" w:fill="FFFFFF"/>
        </w:rPr>
        <w:t xml:space="preserve"> </w:t>
      </w:r>
      <w:r w:rsidR="004D4E1D">
        <w:rPr>
          <w:rFonts w:cs="Arial"/>
          <w:shd w:val="clear" w:color="auto" w:fill="FFFFFF"/>
        </w:rPr>
        <w:t xml:space="preserve">038 41 </w:t>
      </w:r>
      <w:proofErr w:type="spellStart"/>
      <w:r w:rsidR="004D4E1D">
        <w:rPr>
          <w:rFonts w:cs="Arial"/>
          <w:shd w:val="clear" w:color="auto" w:fill="FFFFFF"/>
        </w:rPr>
        <w:t>Turčiansky</w:t>
      </w:r>
      <w:proofErr w:type="spellEnd"/>
      <w:r w:rsidR="004D4E1D">
        <w:rPr>
          <w:rFonts w:cs="Arial"/>
          <w:shd w:val="clear" w:color="auto" w:fill="FFFFFF"/>
        </w:rPr>
        <w:t xml:space="preserve"> Peter</w:t>
      </w:r>
    </w:p>
    <w:p w:rsidR="004D4E1D" w:rsidRDefault="00593E06" w:rsidP="00593E0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IČO: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="004D4E1D">
        <w:rPr>
          <w:rFonts w:cs="Arial"/>
          <w:shd w:val="clear" w:color="auto" w:fill="FFFFFF"/>
        </w:rPr>
        <w:t>00316989</w:t>
      </w:r>
    </w:p>
    <w:p w:rsidR="00593E06" w:rsidRDefault="00593E06" w:rsidP="00593E0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DIČ: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="004D4E1D">
        <w:rPr>
          <w:rFonts w:cs="Arial"/>
          <w:shd w:val="clear" w:color="auto" w:fill="FFFFFF"/>
        </w:rPr>
        <w:t>2020595071</w:t>
      </w:r>
    </w:p>
    <w:p w:rsidR="00593E06" w:rsidRDefault="004D4E1D" w:rsidP="00593E06">
      <w:pPr>
        <w:rPr>
          <w:rFonts w:cs="Arial"/>
          <w:color w:val="000000"/>
          <w:shd w:val="clear" w:color="auto" w:fill="FFFF00"/>
        </w:rPr>
      </w:pPr>
      <w:proofErr w:type="spellStart"/>
      <w:r>
        <w:rPr>
          <w:rFonts w:cs="Arial"/>
          <w:shd w:val="clear" w:color="auto" w:fill="FFFFFF"/>
        </w:rPr>
        <w:t>Zastúpenie</w:t>
      </w:r>
      <w:proofErr w:type="spellEnd"/>
      <w:r>
        <w:rPr>
          <w:rFonts w:cs="Arial"/>
          <w:shd w:val="clear" w:color="auto" w:fill="FFFFFF"/>
        </w:rPr>
        <w:t>: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Ondrej Výbošťok – starosta obce</w:t>
      </w:r>
    </w:p>
    <w:p w:rsidR="00593E06" w:rsidRDefault="00593E06" w:rsidP="00593E06">
      <w:pPr>
        <w:rPr>
          <w:rFonts w:cs="Arial"/>
          <w:shd w:val="clear" w:color="auto" w:fill="FFFFFF"/>
        </w:rPr>
      </w:pPr>
    </w:p>
    <w:p w:rsidR="00593E06" w:rsidRDefault="00593E06" w:rsidP="00593E06">
      <w:pPr>
        <w:rPr>
          <w:rFonts w:cs="Arial"/>
          <w:shd w:val="clear" w:color="auto" w:fill="FFFFFF"/>
        </w:rPr>
      </w:pPr>
    </w:p>
    <w:p w:rsidR="00593E06" w:rsidRDefault="00593E06" w:rsidP="00593E06">
      <w:pPr>
        <w:rPr>
          <w:rFonts w:cs="Arial"/>
          <w:color w:val="000000"/>
        </w:rPr>
      </w:pPr>
      <w:proofErr w:type="spellStart"/>
      <w:r>
        <w:rPr>
          <w:rFonts w:cs="Arial"/>
        </w:rPr>
        <w:t>Sprostredkovateľ</w:t>
      </w:r>
      <w:proofErr w:type="spellEnd"/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Obchodné </w:t>
      </w:r>
      <w:proofErr w:type="spellStart"/>
      <w:r>
        <w:rPr>
          <w:rFonts w:cs="Arial"/>
          <w:color w:val="000000"/>
        </w:rPr>
        <w:t>meno</w:t>
      </w:r>
      <w:proofErr w:type="spellEnd"/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ab/>
        <w:t>MAPA Slovakia Digital s. r. o.</w:t>
      </w:r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Sídlo</w:t>
      </w:r>
      <w:proofErr w:type="spellEnd"/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Dvojkrížna</w:t>
      </w:r>
      <w:proofErr w:type="spellEnd"/>
      <w:r>
        <w:rPr>
          <w:rFonts w:cs="Arial"/>
          <w:color w:val="000000"/>
        </w:rPr>
        <w:t xml:space="preserve"> 49, 821 </w:t>
      </w:r>
      <w:proofErr w:type="gramStart"/>
      <w:r>
        <w:rPr>
          <w:rFonts w:cs="Arial"/>
          <w:color w:val="000000"/>
        </w:rPr>
        <w:t>06  Bratislava</w:t>
      </w:r>
      <w:proofErr w:type="gramEnd"/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IČO: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45325600</w:t>
      </w:r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DIČ: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2022951260</w:t>
      </w:r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IČ DPH: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SK2022951260</w:t>
      </w:r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Zápis</w:t>
      </w:r>
      <w:proofErr w:type="spellEnd"/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v </w:t>
      </w:r>
      <w:proofErr w:type="spellStart"/>
      <w:r>
        <w:rPr>
          <w:rFonts w:cs="Arial"/>
          <w:color w:val="000000"/>
        </w:rPr>
        <w:t>obchodnom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registri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vedenom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Okresným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súdom</w:t>
      </w:r>
      <w:proofErr w:type="spellEnd"/>
      <w:r>
        <w:rPr>
          <w:rFonts w:cs="Arial"/>
          <w:color w:val="000000"/>
        </w:rPr>
        <w:t xml:space="preserve"> Bratislava I, </w:t>
      </w:r>
    </w:p>
    <w:p w:rsidR="00593E06" w:rsidRDefault="00593E06" w:rsidP="00593E06">
      <w:pPr>
        <w:tabs>
          <w:tab w:val="left" w:pos="228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Odd. </w:t>
      </w:r>
      <w:proofErr w:type="spellStart"/>
      <w:r>
        <w:rPr>
          <w:rFonts w:cs="Arial"/>
          <w:color w:val="000000"/>
        </w:rPr>
        <w:t>Sro</w:t>
      </w:r>
      <w:proofErr w:type="spellEnd"/>
      <w:proofErr w:type="gramStart"/>
      <w:r>
        <w:rPr>
          <w:rFonts w:cs="Arial"/>
          <w:color w:val="000000"/>
        </w:rPr>
        <w:t xml:space="preserve">,  </w:t>
      </w:r>
      <w:proofErr w:type="spellStart"/>
      <w:r>
        <w:rPr>
          <w:rFonts w:cs="Arial"/>
          <w:color w:val="000000"/>
        </w:rPr>
        <w:t>vložka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číslo</w:t>
      </w:r>
      <w:proofErr w:type="spellEnd"/>
      <w:r>
        <w:rPr>
          <w:rFonts w:cs="Arial"/>
          <w:color w:val="000000"/>
        </w:rPr>
        <w:t>: 62591/B</w:t>
      </w:r>
    </w:p>
    <w:p w:rsidR="00593E06" w:rsidRDefault="00593E06" w:rsidP="00593E06">
      <w:pPr>
        <w:tabs>
          <w:tab w:val="left" w:pos="2280"/>
        </w:tabs>
        <w:rPr>
          <w:rFonts w:cs="Arial"/>
        </w:rPr>
      </w:pPr>
      <w:proofErr w:type="spellStart"/>
      <w:r>
        <w:rPr>
          <w:rFonts w:cs="Arial"/>
          <w:color w:val="000000"/>
        </w:rPr>
        <w:t>Zastúpenie</w:t>
      </w:r>
      <w:proofErr w:type="spellEnd"/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Mgr. Ján </w:t>
      </w:r>
      <w:proofErr w:type="spellStart"/>
      <w:r>
        <w:rPr>
          <w:rFonts w:cs="Arial"/>
          <w:color w:val="000000"/>
        </w:rPr>
        <w:t>Gašpárek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konateľ</w:t>
      </w:r>
      <w:proofErr w:type="spellEnd"/>
    </w:p>
    <w:p w:rsidR="00593E06" w:rsidRDefault="00593E06" w:rsidP="00593E06">
      <w:pPr>
        <w:rPr>
          <w:rFonts w:cs="Arial"/>
        </w:rPr>
      </w:pPr>
    </w:p>
    <w:p w:rsidR="00593E06" w:rsidRDefault="00593E06" w:rsidP="00593E06">
      <w:pPr>
        <w:rPr>
          <w:rFonts w:cs="Arial"/>
        </w:rPr>
      </w:pPr>
    </w:p>
    <w:p w:rsidR="00593E06" w:rsidRDefault="00593E06" w:rsidP="00593E06">
      <w:pPr>
        <w:spacing w:before="567"/>
        <w:jc w:val="center"/>
        <w:rPr>
          <w:b/>
          <w:bCs/>
        </w:rPr>
      </w:pPr>
      <w:proofErr w:type="spellStart"/>
      <w:r>
        <w:rPr>
          <w:b/>
          <w:bCs/>
        </w:rPr>
        <w:t>Článok</w:t>
      </w:r>
      <w:proofErr w:type="spellEnd"/>
      <w:r>
        <w:rPr>
          <w:b/>
          <w:bCs/>
        </w:rPr>
        <w:t xml:space="preserve"> I.</w:t>
      </w:r>
    </w:p>
    <w:p w:rsidR="00593E06" w:rsidRDefault="00593E06" w:rsidP="00593E06">
      <w:pPr>
        <w:jc w:val="center"/>
        <w:rPr>
          <w:rFonts w:cs="Arial"/>
          <w:lang w:val="sk-SK"/>
        </w:rPr>
      </w:pPr>
      <w:proofErr w:type="spellStart"/>
      <w:r>
        <w:rPr>
          <w:b/>
          <w:bCs/>
        </w:rPr>
        <w:t>Predmet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účel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Zmluvy</w:t>
      </w:r>
      <w:proofErr w:type="spellEnd"/>
    </w:p>
    <w:p w:rsidR="00593E06" w:rsidRPr="00825CC4" w:rsidRDefault="00593E06" w:rsidP="00593E06">
      <w:pPr>
        <w:numPr>
          <w:ilvl w:val="0"/>
          <w:numId w:val="1"/>
        </w:numPr>
        <w:spacing w:before="113"/>
        <w:ind w:left="0" w:firstLine="0"/>
        <w:rPr>
          <w:rFonts w:cs="Arial"/>
          <w:color w:val="000000" w:themeColor="text1"/>
          <w:lang w:val="sk-SK"/>
        </w:rPr>
      </w:pPr>
      <w:r>
        <w:rPr>
          <w:rFonts w:cs="Arial"/>
          <w:lang w:val="sk-SK"/>
        </w:rPr>
        <w:t>Táto zmluva sa uzatvára v nadväznosti na</w:t>
      </w:r>
      <w:r w:rsidR="00504971">
        <w:rPr>
          <w:rFonts w:cs="Arial"/>
          <w:lang w:val="sk-SK"/>
        </w:rPr>
        <w:t>“</w:t>
      </w:r>
      <w:r>
        <w:rPr>
          <w:rFonts w:cs="Arial"/>
          <w:lang w:val="sk-SK"/>
        </w:rPr>
        <w:t xml:space="preserve"> </w:t>
      </w:r>
      <w:r w:rsidRPr="00825CC4">
        <w:rPr>
          <w:rFonts w:cs="Arial"/>
          <w:color w:val="000000" w:themeColor="text1"/>
          <w:shd w:val="clear" w:color="auto" w:fill="FFFF00"/>
          <w:lang w:val="sk-SK"/>
        </w:rPr>
        <w:t>Zmluvu</w:t>
      </w:r>
      <w:r w:rsidR="004D4E1D" w:rsidRPr="00825CC4">
        <w:rPr>
          <w:rFonts w:cs="Arial"/>
          <w:color w:val="000000" w:themeColor="text1"/>
          <w:shd w:val="clear" w:color="auto" w:fill="FFFF00"/>
          <w:lang w:val="sk-SK"/>
        </w:rPr>
        <w:t xml:space="preserve"> o Poskytnutí služieb č. </w:t>
      </w:r>
      <w:proofErr w:type="spellStart"/>
      <w:r w:rsidR="004D4E1D" w:rsidRPr="00825CC4">
        <w:rPr>
          <w:rFonts w:cs="Arial"/>
          <w:color w:val="000000" w:themeColor="text1"/>
          <w:shd w:val="clear" w:color="auto" w:fill="FFFF00"/>
          <w:lang w:val="sk-SK"/>
        </w:rPr>
        <w:t>MSD_Turčiansky</w:t>
      </w:r>
      <w:proofErr w:type="spellEnd"/>
      <w:r w:rsidR="004D4E1D" w:rsidRPr="00825CC4">
        <w:rPr>
          <w:rFonts w:cs="Arial"/>
          <w:color w:val="000000" w:themeColor="text1"/>
          <w:shd w:val="clear" w:color="auto" w:fill="FFFF00"/>
          <w:lang w:val="sk-SK"/>
        </w:rPr>
        <w:t xml:space="preserve"> Peter_01</w:t>
      </w:r>
      <w:r w:rsidR="00504971" w:rsidRPr="00825CC4">
        <w:rPr>
          <w:rFonts w:cs="Arial"/>
          <w:color w:val="000000" w:themeColor="text1"/>
          <w:shd w:val="clear" w:color="auto" w:fill="FFFF00"/>
          <w:lang w:val="sk-SK"/>
        </w:rPr>
        <w:t>,“</w:t>
      </w:r>
      <w:r w:rsidRPr="00825CC4">
        <w:rPr>
          <w:rFonts w:cs="Arial"/>
          <w:color w:val="000000" w:themeColor="text1"/>
          <w:shd w:val="clear" w:color="auto" w:fill="FFFF00"/>
          <w:lang w:val="sk-SK"/>
        </w:rPr>
        <w:t xml:space="preserve"> zo dňa </w:t>
      </w:r>
      <w:r w:rsidR="004D4E1D" w:rsidRPr="00825CC4">
        <w:rPr>
          <w:rFonts w:cs="Arial"/>
          <w:color w:val="000000" w:themeColor="text1"/>
          <w:shd w:val="clear" w:color="auto" w:fill="FFFF00"/>
          <w:lang w:val="sk-SK"/>
        </w:rPr>
        <w:t>13.3.2017</w:t>
      </w:r>
      <w:r w:rsidRPr="00825CC4">
        <w:rPr>
          <w:rFonts w:cs="Arial"/>
          <w:color w:val="000000" w:themeColor="text1"/>
          <w:shd w:val="clear" w:color="auto" w:fill="FFFF00"/>
          <w:lang w:val="sk-SK"/>
        </w:rPr>
        <w:t>,</w:t>
      </w:r>
      <w:r w:rsidRPr="00825CC4">
        <w:rPr>
          <w:rFonts w:cs="Arial"/>
          <w:color w:val="000000" w:themeColor="text1"/>
          <w:lang w:val="sk-SK"/>
        </w:rPr>
        <w:t xml:space="preserve"> ktorú medzi sebou uzavreli Prevádzkovateľ a Sprostredkovateľ.</w:t>
      </w:r>
    </w:p>
    <w:p w:rsidR="00593E06" w:rsidRDefault="00593E06" w:rsidP="00593E06">
      <w:pPr>
        <w:numPr>
          <w:ilvl w:val="0"/>
          <w:numId w:val="1"/>
        </w:numPr>
        <w:spacing w:before="113"/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 xml:space="preserve">Predmetom tejto zmluvy je poverenie Sprostredkovateľa Prevádzkovateľom spracúvaním osobných údajov dotknutých osôb v rozsahu dojednaným v tejto zmluve. Poverenie na spracúvanie osobných údajov sa vzťahuje na činnosť spracúvania osobných údajov </w:t>
      </w:r>
      <w:r>
        <w:rPr>
          <w:rFonts w:cs="Arial"/>
          <w:b/>
          <w:bCs/>
          <w:i/>
          <w:iCs/>
          <w:lang w:val="sk-SK"/>
        </w:rPr>
        <w:t>Katastrálny operát</w:t>
      </w:r>
      <w:r>
        <w:rPr>
          <w:rFonts w:cs="Arial"/>
          <w:lang w:val="sk-SK"/>
        </w:rPr>
        <w:t>.</w:t>
      </w:r>
    </w:p>
    <w:p w:rsidR="00593E06" w:rsidRDefault="00593E06" w:rsidP="00593E06">
      <w:pPr>
        <w:numPr>
          <w:ilvl w:val="0"/>
          <w:numId w:val="1"/>
        </w:numPr>
        <w:spacing w:before="113"/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 xml:space="preserve">Dotknutými osobami sú osoby, ktoré sú vedené ako vlastníci a spoluvlastníci nehnuteľností v katastrálnom území </w:t>
      </w:r>
      <w:r w:rsidR="004D4E1D" w:rsidRPr="004D4E1D">
        <w:rPr>
          <w:rFonts w:cs="Arial"/>
          <w:shd w:val="clear" w:color="auto" w:fill="FFFF00"/>
          <w:lang w:val="sk-SK"/>
        </w:rPr>
        <w:t>Turčiansky Peter</w:t>
      </w:r>
      <w:r>
        <w:rPr>
          <w:rFonts w:cs="Arial"/>
          <w:shd w:val="clear" w:color="auto" w:fill="FFFF00"/>
          <w:lang w:val="sk-SK"/>
        </w:rPr>
        <w:t xml:space="preserve"> </w:t>
      </w:r>
      <w:r>
        <w:rPr>
          <w:rFonts w:cs="Arial"/>
          <w:lang w:val="sk-SK"/>
        </w:rPr>
        <w:t>a osoby, ktorých majetkové práva k týmto nehnuteľnostiam sú zapísané v katastrálnom operáte vedenom podľa ustanovenia § 8 zákona č. 162/1995 Z. z. v znení neskorších právnych predpisov (ďalej len „katastrálny zákon“).</w:t>
      </w:r>
    </w:p>
    <w:p w:rsidR="00593E06" w:rsidRDefault="00593E06" w:rsidP="00593E06">
      <w:pPr>
        <w:numPr>
          <w:ilvl w:val="0"/>
          <w:numId w:val="1"/>
        </w:numPr>
        <w:spacing w:before="113"/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>Účelom spracúvania je zverejňovanie údajov katastrálneho operátu prevádzkovateľom po ich predchádzajúcom zverejnení Úradom geodézie, kartografie a katastra Slovenskej republiky.</w:t>
      </w:r>
    </w:p>
    <w:p w:rsidR="00593E06" w:rsidRDefault="00593E06" w:rsidP="00593E06">
      <w:pPr>
        <w:numPr>
          <w:ilvl w:val="0"/>
          <w:numId w:val="1"/>
        </w:numPr>
        <w:spacing w:before="113"/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>Okruh dotknutých osôb a rozsah spracúvaných údajov je určený ustanoveniami § 7 písm. c), § 8 a § 68 ods. 3 katastrálneho zákona.</w:t>
      </w:r>
    </w:p>
    <w:p w:rsidR="00593E06" w:rsidRDefault="00593E06" w:rsidP="00593E06">
      <w:pPr>
        <w:numPr>
          <w:ilvl w:val="0"/>
          <w:numId w:val="1"/>
        </w:numPr>
        <w:spacing w:before="113"/>
        <w:ind w:left="0" w:firstLine="0"/>
        <w:rPr>
          <w:rFonts w:cs="Arial"/>
          <w:lang w:val="sk-SK"/>
        </w:rPr>
      </w:pPr>
      <w:r>
        <w:rPr>
          <w:rFonts w:cs="Arial"/>
          <w:lang w:val="sk-SK"/>
        </w:rPr>
        <w:t>Sprostredkovateľ a prevádzkovateľ sa dohodli, že sprostredkovateľ bude v mene prevádzkovateľa vykonávať nasledovné operácie s osobnými údajmi:</w:t>
      </w:r>
    </w:p>
    <w:p w:rsidR="00593E06" w:rsidRDefault="00593E06" w:rsidP="00593E06">
      <w:pPr>
        <w:numPr>
          <w:ilvl w:val="0"/>
          <w:numId w:val="2"/>
        </w:numPr>
        <w:spacing w:before="113"/>
        <w:rPr>
          <w:rFonts w:cs="Arial"/>
          <w:lang w:val="sk-SK"/>
        </w:rPr>
      </w:pPr>
      <w:r>
        <w:rPr>
          <w:rFonts w:cs="Arial"/>
          <w:lang w:val="sk-SK"/>
        </w:rPr>
        <w:t>poskytovanie technickej podpory – migrácia a integrácia dát katastrálneho operátu, ktoré prevádzkovateľovi poskytuje Úrad geodézie, kartografie a katastra Slovenskej republiky,</w:t>
      </w:r>
    </w:p>
    <w:p w:rsidR="00593E06" w:rsidRDefault="00593E06" w:rsidP="00593E06">
      <w:pPr>
        <w:numPr>
          <w:ilvl w:val="0"/>
          <w:numId w:val="2"/>
        </w:numPr>
        <w:spacing w:before="113"/>
        <w:rPr>
          <w:rFonts w:cs="Arial"/>
          <w:lang w:val="sk-SK"/>
        </w:rPr>
      </w:pPr>
      <w:r>
        <w:rPr>
          <w:rFonts w:cs="Arial"/>
          <w:lang w:val="sk-SK"/>
        </w:rPr>
        <w:t xml:space="preserve">poskytovanie aplikačnej podpory – aktualizácia aplikácie </w:t>
      </w:r>
      <w:proofErr w:type="spellStart"/>
      <w:r>
        <w:rPr>
          <w:rFonts w:cs="Arial"/>
          <w:lang w:val="sk-SK"/>
        </w:rPr>
        <w:t>mOBEC</w:t>
      </w:r>
      <w:proofErr w:type="spellEnd"/>
      <w:r>
        <w:rPr>
          <w:rFonts w:cs="Arial"/>
          <w:lang w:val="sk-SK"/>
        </w:rPr>
        <w:t>,</w:t>
      </w:r>
    </w:p>
    <w:p w:rsidR="00593E06" w:rsidRDefault="00593E06" w:rsidP="00593E06">
      <w:pPr>
        <w:numPr>
          <w:ilvl w:val="0"/>
          <w:numId w:val="2"/>
        </w:numPr>
        <w:spacing w:before="113"/>
        <w:rPr>
          <w:rFonts w:cs="Arial"/>
          <w:color w:val="000000"/>
          <w:lang w:val="sk-SK"/>
        </w:rPr>
      </w:pPr>
      <w:r>
        <w:rPr>
          <w:rFonts w:cs="Arial"/>
          <w:lang w:val="sk-SK"/>
        </w:rPr>
        <w:t>oboznamovanie sa so spracúvanými osobnými údajmi v rozsahu nutnom pre poskytovanie technickej podpory a aplikačnej podpory.</w:t>
      </w:r>
    </w:p>
    <w:p w:rsidR="00593E06" w:rsidRDefault="00593E06" w:rsidP="00593E06">
      <w:pPr>
        <w:numPr>
          <w:ilvl w:val="0"/>
          <w:numId w:val="1"/>
        </w:numPr>
        <w:spacing w:before="113"/>
        <w:ind w:left="0" w:firstLine="0"/>
        <w:rPr>
          <w:b/>
          <w:bCs/>
        </w:rPr>
      </w:pPr>
      <w:r>
        <w:rPr>
          <w:rFonts w:cs="Arial"/>
          <w:color w:val="000000"/>
          <w:lang w:val="sk-SK"/>
        </w:rPr>
        <w:t xml:space="preserve">Sprostredkovateľ je povinný spracúvať osobné údaje dotknutých osôb v súlade s </w:t>
      </w:r>
      <w:r>
        <w:rPr>
          <w:rFonts w:cs="Arial"/>
          <w:lang w:val="sk-SK"/>
        </w:rPr>
        <w:t>Nariadením Európskeho Parlamentu A Rady (EÚ) 2016/679 a zákonom o ochrane osobných údajov v platnom znení.</w:t>
      </w:r>
      <w:r>
        <w:t xml:space="preserve"> </w:t>
      </w:r>
    </w:p>
    <w:p w:rsidR="00593E06" w:rsidRDefault="00593E06" w:rsidP="00593E06">
      <w:pPr>
        <w:spacing w:before="567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Článok</w:t>
      </w:r>
      <w:proofErr w:type="spellEnd"/>
      <w:r>
        <w:rPr>
          <w:b/>
          <w:bCs/>
        </w:rPr>
        <w:t xml:space="preserve"> II.</w:t>
      </w:r>
    </w:p>
    <w:p w:rsidR="00593E06" w:rsidRDefault="00593E06" w:rsidP="00593E06">
      <w:pPr>
        <w:jc w:val="center"/>
        <w:rPr>
          <w:b/>
          <w:bCs/>
        </w:rPr>
      </w:pPr>
      <w:proofErr w:type="spellStart"/>
      <w:r>
        <w:rPr>
          <w:b/>
          <w:bCs/>
        </w:rPr>
        <w:t>Podmienky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spracúvania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údajov</w:t>
      </w:r>
      <w:proofErr w:type="spellEnd"/>
    </w:p>
    <w:p w:rsidR="00593E06" w:rsidRDefault="00593E06" w:rsidP="00593E06">
      <w:pPr>
        <w:jc w:val="center"/>
      </w:pPr>
    </w:p>
    <w:p w:rsidR="00593E06" w:rsidRDefault="00593E06" w:rsidP="00593E06">
      <w:pPr>
        <w:rPr>
          <w:color w:val="000000"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na </w:t>
      </w:r>
      <w:proofErr w:type="spellStart"/>
      <w:r>
        <w:t>nasledujúcich</w:t>
      </w:r>
      <w:proofErr w:type="spellEnd"/>
      <w:r>
        <w:t xml:space="preserve"> </w:t>
      </w:r>
      <w:proofErr w:type="spellStart"/>
      <w:r>
        <w:t>podmienkach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: 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  <w:rPr>
          <w:rFonts w:cs="Arial"/>
          <w:color w:val="000000"/>
        </w:rPr>
      </w:pPr>
      <w:proofErr w:type="spellStart"/>
      <w:r>
        <w:rPr>
          <w:color w:val="000000"/>
        </w:rPr>
        <w:t>Sprostredkovateľ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spracúvať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, bez </w:t>
      </w:r>
      <w:proofErr w:type="spellStart"/>
      <w:r>
        <w:rPr>
          <w:color w:val="000000"/>
        </w:rPr>
        <w:t>zapojenia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ďalšieho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sprostredkovateľa</w:t>
      </w:r>
      <w:proofErr w:type="spellEnd"/>
      <w:r>
        <w:rPr>
          <w:color w:val="000000"/>
        </w:rP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  <w:rPr>
          <w:color w:val="000000"/>
        </w:rPr>
      </w:pPr>
      <w:proofErr w:type="spellStart"/>
      <w:r>
        <w:rPr>
          <w:rFonts w:cs="Arial"/>
          <w:color w:val="000000"/>
        </w:rPr>
        <w:t>Sprostredkovateľ</w:t>
      </w:r>
      <w:proofErr w:type="spellEnd"/>
      <w:r>
        <w:rPr>
          <w:rFonts w:cs="Arial"/>
          <w:color w:val="000000"/>
        </w:rPr>
        <w:t xml:space="preserve"> je </w:t>
      </w:r>
      <w:proofErr w:type="spellStart"/>
      <w:r>
        <w:rPr>
          <w:rFonts w:cs="Arial"/>
          <w:bCs/>
          <w:color w:val="000000"/>
        </w:rPr>
        <w:t>oprávnený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pri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spracúvaní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osobných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údajov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vykonávať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výlučne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nasledovné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operácie</w:t>
      </w:r>
      <w:proofErr w:type="spellEnd"/>
      <w:r>
        <w:rPr>
          <w:rFonts w:cs="Arial"/>
          <w:bCs/>
          <w:color w:val="000000"/>
        </w:rPr>
        <w:t xml:space="preserve">: </w:t>
      </w:r>
      <w:proofErr w:type="spellStart"/>
      <w:r>
        <w:rPr>
          <w:rFonts w:cs="Arial"/>
          <w:bCs/>
          <w:color w:val="000000"/>
        </w:rPr>
        <w:t>oboznamovať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sa</w:t>
      </w:r>
      <w:proofErr w:type="spellEnd"/>
      <w:r>
        <w:rPr>
          <w:rFonts w:cs="Arial"/>
          <w:bCs/>
          <w:color w:val="000000"/>
        </w:rPr>
        <w:t xml:space="preserve"> so </w:t>
      </w:r>
      <w:proofErr w:type="spellStart"/>
      <w:r>
        <w:rPr>
          <w:rFonts w:cs="Arial"/>
          <w:bCs/>
          <w:color w:val="000000"/>
        </w:rPr>
        <w:t>spracúvanými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údajmi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zverejňovať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spracúvané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údaje</w:t>
      </w:r>
      <w:proofErr w:type="spellEnd"/>
      <w:r>
        <w:rPr>
          <w:rFonts w:cs="Arial"/>
          <w:bCs/>
          <w:color w:val="000000"/>
        </w:rP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rPr>
          <w:color w:val="000000"/>
        </w:rPr>
        <w:t>Sprostredkovateľ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povinný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spracúvania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zabezpečiť</w:t>
      </w:r>
      <w:proofErr w:type="spellEnd"/>
      <w:r>
        <w:t xml:space="preserve"> </w:t>
      </w:r>
      <w:proofErr w:type="spellStart"/>
      <w:r>
        <w:t>dodržiavanie</w:t>
      </w:r>
      <w:proofErr w:type="spellEnd"/>
      <w:r>
        <w:t xml:space="preserve"> </w:t>
      </w:r>
      <w:proofErr w:type="spellStart"/>
      <w:r>
        <w:t>bezpečnostných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, t. j. </w:t>
      </w:r>
      <w:proofErr w:type="spellStart"/>
      <w:r>
        <w:t>technických</w:t>
      </w:r>
      <w:proofErr w:type="spellEnd"/>
      <w:r>
        <w:t xml:space="preserve">, </w:t>
      </w:r>
      <w:proofErr w:type="spellStart"/>
      <w:r>
        <w:t>organizačných</w:t>
      </w:r>
      <w:proofErr w:type="spellEnd"/>
      <w:r>
        <w:t xml:space="preserve"> a </w:t>
      </w:r>
      <w:proofErr w:type="spellStart"/>
      <w:r>
        <w:t>personálnych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na </w:t>
      </w:r>
      <w:proofErr w:type="spellStart"/>
      <w:r>
        <w:t>eliminovanie</w:t>
      </w:r>
      <w:proofErr w:type="spellEnd"/>
      <w:r>
        <w:t xml:space="preserve"> a </w:t>
      </w:r>
      <w:proofErr w:type="spellStart"/>
      <w:r>
        <w:t>minimalizovanie</w:t>
      </w:r>
      <w:proofErr w:type="spellEnd"/>
      <w:r>
        <w:t xml:space="preserve"> </w:t>
      </w:r>
      <w:proofErr w:type="spellStart"/>
      <w:r>
        <w:t>hrozieb</w:t>
      </w:r>
      <w:proofErr w:type="spellEnd"/>
      <w:r>
        <w:t xml:space="preserve"> a </w:t>
      </w:r>
      <w:proofErr w:type="spellStart"/>
      <w:r>
        <w:t>rizík</w:t>
      </w:r>
      <w:proofErr w:type="spellEnd"/>
      <w:r>
        <w:t xml:space="preserve"> z 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narušenia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, </w:t>
      </w:r>
      <w:proofErr w:type="spellStart"/>
      <w:r>
        <w:t>spoľahlivosti</w:t>
      </w:r>
      <w:proofErr w:type="spellEnd"/>
      <w:r>
        <w:t xml:space="preserve"> a </w:t>
      </w:r>
      <w:proofErr w:type="spellStart"/>
      <w:r>
        <w:t>funkčnosti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Sprostredkovateľ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 xml:space="preserve"> </w:t>
      </w:r>
      <w:proofErr w:type="spellStart"/>
      <w:r>
        <w:t>spracúvaných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chráni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odcudzením</w:t>
      </w:r>
      <w:proofErr w:type="spellEnd"/>
      <w:r>
        <w:t xml:space="preserve">, </w:t>
      </w:r>
      <w:proofErr w:type="spellStart"/>
      <w:r>
        <w:t>stratou</w:t>
      </w:r>
      <w:proofErr w:type="spellEnd"/>
      <w:r>
        <w:t xml:space="preserve">, </w:t>
      </w:r>
      <w:proofErr w:type="spellStart"/>
      <w:r>
        <w:t>poškodením</w:t>
      </w:r>
      <w:proofErr w:type="spellEnd"/>
      <w:r>
        <w:t xml:space="preserve">, </w:t>
      </w:r>
      <w:proofErr w:type="spellStart"/>
      <w:r>
        <w:t>krádežou</w:t>
      </w:r>
      <w:proofErr w:type="spellEnd"/>
      <w:r>
        <w:t xml:space="preserve">,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zničením</w:t>
      </w:r>
      <w:proofErr w:type="spellEnd"/>
      <w:r>
        <w:t xml:space="preserve">, </w:t>
      </w:r>
      <w:proofErr w:type="spellStart"/>
      <w:r>
        <w:t>zneužitím</w:t>
      </w:r>
      <w:proofErr w:type="spellEnd"/>
      <w:r>
        <w:t xml:space="preserve">, </w:t>
      </w:r>
      <w:proofErr w:type="spellStart"/>
      <w:r>
        <w:t>neautorizovanou</w:t>
      </w:r>
      <w:proofErr w:type="spellEnd"/>
      <w:r>
        <w:t xml:space="preserve"> </w:t>
      </w:r>
      <w:proofErr w:type="spellStart"/>
      <w:r>
        <w:t>zmenou</w:t>
      </w:r>
      <w:proofErr w:type="spellEnd"/>
      <w:r>
        <w:t xml:space="preserve">,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prístupom</w:t>
      </w:r>
      <w:proofErr w:type="spellEnd"/>
      <w:r>
        <w:t xml:space="preserve">, </w:t>
      </w:r>
      <w:proofErr w:type="spellStart"/>
      <w:r>
        <w:t>sprístupnením</w:t>
      </w:r>
      <w:proofErr w:type="spellEnd"/>
      <w:r>
        <w:t xml:space="preserve">, </w:t>
      </w:r>
      <w:proofErr w:type="spellStart"/>
      <w:r>
        <w:t>poskytnutím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zverejnením</w:t>
      </w:r>
      <w:proofErr w:type="spellEnd"/>
      <w:r>
        <w:t xml:space="preserve">. </w:t>
      </w:r>
      <w:proofErr w:type="spellStart"/>
      <w:r>
        <w:t>Sprostredkovateľ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proofErr w:type="gramStart"/>
      <w:r>
        <w:t>účelom</w:t>
      </w:r>
      <w:proofErr w:type="spellEnd"/>
      <w:r>
        <w:t xml:space="preserve">  </w:t>
      </w:r>
      <w:proofErr w:type="spellStart"/>
      <w:r>
        <w:t>povinný</w:t>
      </w:r>
      <w:proofErr w:type="spellEnd"/>
      <w:proofErr w:type="gramEnd"/>
      <w:r>
        <w:t xml:space="preserve"> </w:t>
      </w:r>
      <w:proofErr w:type="spellStart"/>
      <w:r>
        <w:t>prijať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, </w:t>
      </w:r>
      <w:proofErr w:type="spellStart"/>
      <w:r>
        <w:t>organizačné</w:t>
      </w:r>
      <w:proofErr w:type="spellEnd"/>
      <w:r>
        <w:t xml:space="preserve"> a </w:t>
      </w:r>
      <w:proofErr w:type="spellStart"/>
      <w:r>
        <w:t>personálne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zodpovedajúce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spracúvať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zaviazali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zachovajú</w:t>
      </w:r>
      <w:proofErr w:type="spellEnd"/>
      <w:r>
        <w:t xml:space="preserve"> </w:t>
      </w:r>
      <w:proofErr w:type="spellStart"/>
      <w:r>
        <w:t>dôvernosť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Sprostredkovateľ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, </w:t>
      </w:r>
      <w:proofErr w:type="spellStart"/>
      <w:r>
        <w:t>sprístupniť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zverejniť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tretím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mu </w:t>
      </w:r>
      <w:proofErr w:type="spellStart"/>
      <w:r>
        <w:t>táto</w:t>
      </w:r>
      <w:proofErr w:type="spellEnd"/>
      <w:r>
        <w:t xml:space="preserve">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nevyplýva</w:t>
      </w:r>
      <w:proofErr w:type="spellEnd"/>
      <w:r>
        <w:t xml:space="preserve"> z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Sprostredkovateľ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bez </w:t>
      </w:r>
      <w:proofErr w:type="spellStart"/>
      <w:r>
        <w:t>zbytočného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Prevádzkovateľovi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</w:t>
      </w:r>
      <w:proofErr w:type="spellStart"/>
      <w:r>
        <w:t>podozrenia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, </w:t>
      </w:r>
      <w:proofErr w:type="spellStart"/>
      <w:r>
        <w:t>straty</w:t>
      </w:r>
      <w:proofErr w:type="spellEnd"/>
      <w:r>
        <w:t xml:space="preserve">, </w:t>
      </w:r>
      <w:proofErr w:type="spellStart"/>
      <w:r>
        <w:t>poškodenia</w:t>
      </w:r>
      <w:proofErr w:type="spellEnd"/>
      <w:r>
        <w:t xml:space="preserve">, </w:t>
      </w:r>
      <w:proofErr w:type="spellStart"/>
      <w:r>
        <w:t>krádeže</w:t>
      </w:r>
      <w:proofErr w:type="spellEnd"/>
      <w:r>
        <w:t xml:space="preserve">, </w:t>
      </w:r>
      <w:proofErr w:type="spellStart"/>
      <w:r>
        <w:t>neoprávneného</w:t>
      </w:r>
      <w:proofErr w:type="spellEnd"/>
      <w:r>
        <w:t xml:space="preserve"> </w:t>
      </w:r>
      <w:proofErr w:type="spellStart"/>
      <w:r>
        <w:t>zničenia</w:t>
      </w:r>
      <w:proofErr w:type="spellEnd"/>
      <w:r>
        <w:t xml:space="preserve">, </w:t>
      </w:r>
      <w:proofErr w:type="spellStart"/>
      <w:r>
        <w:t>zneužitia</w:t>
      </w:r>
      <w:proofErr w:type="spellEnd"/>
      <w:r>
        <w:t xml:space="preserve">, </w:t>
      </w:r>
      <w:proofErr w:type="spellStart"/>
      <w:r>
        <w:t>neautorizovanej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, </w:t>
      </w:r>
      <w:proofErr w:type="spellStart"/>
      <w:r>
        <w:t>neoprávneného</w:t>
      </w:r>
      <w:proofErr w:type="spellEnd"/>
      <w:r>
        <w:t xml:space="preserve"> </w:t>
      </w:r>
      <w:proofErr w:type="spellStart"/>
      <w:r>
        <w:t>prístupu</w:t>
      </w:r>
      <w:proofErr w:type="spellEnd"/>
      <w:r>
        <w:t xml:space="preserve">, </w:t>
      </w:r>
      <w:proofErr w:type="spellStart"/>
      <w:r>
        <w:t>sprístupnenia</w:t>
      </w:r>
      <w:proofErr w:type="spellEnd"/>
      <w:r>
        <w:t xml:space="preserve">,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zverejnenia</w:t>
      </w:r>
      <w:proofErr w:type="spellEnd"/>
      <w:r>
        <w:t xml:space="preserve"> </w:t>
      </w:r>
      <w:proofErr w:type="spellStart"/>
      <w:r>
        <w:t>spracúvaných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Prevádzkovateľ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u </w:t>
      </w:r>
      <w:proofErr w:type="spellStart"/>
      <w:r>
        <w:t>Sprostredkovateľa</w:t>
      </w:r>
      <w:proofErr w:type="spellEnd"/>
      <w:r>
        <w:t xml:space="preserve"> a </w:t>
      </w:r>
      <w:proofErr w:type="spellStart"/>
      <w:r>
        <w:t>preverovať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Sprostredkovateľ</w:t>
      </w:r>
      <w:proofErr w:type="spellEnd"/>
      <w:r>
        <w:t xml:space="preserve"> </w:t>
      </w:r>
      <w:proofErr w:type="spellStart"/>
      <w:r>
        <w:t>spracúva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Zákonom</w:t>
      </w:r>
      <w:proofErr w:type="spellEnd"/>
      <w:r>
        <w:t xml:space="preserve"> o 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 a </w:t>
      </w:r>
      <w:proofErr w:type="spellStart"/>
      <w:r>
        <w:t>ďalšími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. </w:t>
      </w:r>
      <w:proofErr w:type="spellStart"/>
      <w:r>
        <w:t>Prevádzkovateľ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Sprostredkovateľovi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, a to </w:t>
      </w:r>
      <w:proofErr w:type="spellStart"/>
      <w:r>
        <w:t>najmenej</w:t>
      </w:r>
      <w:proofErr w:type="spellEnd"/>
      <w:r>
        <w:t xml:space="preserve"> </w:t>
      </w:r>
      <w:proofErr w:type="spellStart"/>
      <w:r>
        <w:t>päť</w:t>
      </w:r>
      <w:proofErr w:type="spellEnd"/>
      <w:r>
        <w:t xml:space="preserve"> (5)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plánovaným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.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o </w:t>
      </w:r>
      <w:proofErr w:type="spellStart"/>
      <w:r>
        <w:t>plánovanej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,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mená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vykonajú</w:t>
      </w:r>
      <w:proofErr w:type="spellEnd"/>
      <w:r>
        <w:t xml:space="preserve">. </w:t>
      </w:r>
      <w:proofErr w:type="spellStart"/>
      <w:r>
        <w:t>Sprostredkovateľ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Prevádzkovateľovi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kontrolnej</w:t>
      </w:r>
      <w:proofErr w:type="spellEnd"/>
      <w:r>
        <w:t xml:space="preserve"> </w:t>
      </w:r>
      <w:proofErr w:type="spellStart"/>
      <w:proofErr w:type="gramStart"/>
      <w:r>
        <w:t>činnosti</w:t>
      </w:r>
      <w:proofErr w:type="spellEnd"/>
      <w:r>
        <w:t xml:space="preserve">  </w:t>
      </w:r>
      <w:proofErr w:type="spellStart"/>
      <w:r>
        <w:t>potrebnú</w:t>
      </w:r>
      <w:proofErr w:type="spellEnd"/>
      <w:proofErr w:type="gramEnd"/>
      <w:r>
        <w:t xml:space="preserve"> </w:t>
      </w:r>
      <w:proofErr w:type="spellStart"/>
      <w:r>
        <w:t>súčinnosť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Sprostredkovateľ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Prevádzkovateľovi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kontrolnej</w:t>
      </w:r>
      <w:proofErr w:type="spellEnd"/>
      <w:r>
        <w:t xml:space="preserve"> </w:t>
      </w:r>
      <w:proofErr w:type="spellStart"/>
      <w:proofErr w:type="gramStart"/>
      <w:r>
        <w:t>činnosti</w:t>
      </w:r>
      <w:proofErr w:type="spellEnd"/>
      <w:r>
        <w:t xml:space="preserve">  </w:t>
      </w:r>
      <w:proofErr w:type="spellStart"/>
      <w:r>
        <w:t>potrebnú</w:t>
      </w:r>
      <w:proofErr w:type="spellEnd"/>
      <w:proofErr w:type="gramEnd"/>
      <w:r>
        <w:t xml:space="preserve">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reagovať</w:t>
      </w:r>
      <w:proofErr w:type="spellEnd"/>
      <w:r>
        <w:t xml:space="preserve"> na </w:t>
      </w:r>
      <w:proofErr w:type="spellStart"/>
      <w:r>
        <w:t>žiadosti</w:t>
      </w:r>
      <w:proofErr w:type="spellEnd"/>
      <w:r>
        <w:t xml:space="preserve"> o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dotknutej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Sprostredkovateľ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na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potrebnú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úloh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</w:pPr>
      <w:proofErr w:type="spellStart"/>
      <w:r>
        <w:t>Sprostredkovateľ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prenášať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do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krajín</w:t>
      </w:r>
      <w:proofErr w:type="spellEnd"/>
      <w:r>
        <w:t>, v 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zaručená</w:t>
      </w:r>
      <w:proofErr w:type="spellEnd"/>
      <w:r>
        <w:t xml:space="preserve"> </w:t>
      </w:r>
      <w:proofErr w:type="spellStart"/>
      <w:r>
        <w:t>primeraná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</w:p>
    <w:p w:rsidR="00593E06" w:rsidRDefault="00593E06" w:rsidP="00593E06">
      <w:pPr>
        <w:numPr>
          <w:ilvl w:val="0"/>
          <w:numId w:val="3"/>
        </w:numPr>
        <w:spacing w:before="113"/>
        <w:ind w:left="0" w:firstLine="0"/>
        <w:rPr>
          <w:b/>
          <w:bCs/>
        </w:rPr>
      </w:pPr>
      <w:proofErr w:type="spellStart"/>
      <w:r>
        <w:t>Sprostredkovateľ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Prevádzkovateľovi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spracúvané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zlikvidovať</w:t>
      </w:r>
      <w:proofErr w:type="spellEnd"/>
      <w:r>
        <w:t>.</w:t>
      </w:r>
    </w:p>
    <w:p w:rsidR="00593E06" w:rsidRDefault="00593E06" w:rsidP="00593E06">
      <w:pPr>
        <w:spacing w:before="567"/>
        <w:jc w:val="center"/>
        <w:rPr>
          <w:b/>
          <w:bCs/>
        </w:rPr>
      </w:pPr>
      <w:proofErr w:type="spellStart"/>
      <w:r>
        <w:rPr>
          <w:b/>
          <w:bCs/>
        </w:rPr>
        <w:t>Článok</w:t>
      </w:r>
      <w:proofErr w:type="spellEnd"/>
      <w:r>
        <w:rPr>
          <w:b/>
          <w:bCs/>
        </w:rPr>
        <w:t xml:space="preserve"> III.</w:t>
      </w:r>
    </w:p>
    <w:p w:rsidR="00593E06" w:rsidRDefault="00593E06" w:rsidP="00593E06">
      <w:pPr>
        <w:jc w:val="center"/>
        <w:rPr>
          <w:b/>
          <w:bCs/>
        </w:rPr>
      </w:pPr>
      <w:proofErr w:type="spellStart"/>
      <w:r>
        <w:rPr>
          <w:b/>
          <w:bCs/>
        </w:rPr>
        <w:t>Vyhlásenie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Prevádzkovateľa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Sprostredkovateľa</w:t>
      </w:r>
      <w:proofErr w:type="spellEnd"/>
    </w:p>
    <w:p w:rsidR="00593E06" w:rsidRDefault="00593E06" w:rsidP="00593E06">
      <w:pPr>
        <w:jc w:val="center"/>
      </w:pPr>
    </w:p>
    <w:p w:rsidR="00593E06" w:rsidRDefault="00593E06" w:rsidP="00593E06">
      <w:pPr>
        <w:numPr>
          <w:ilvl w:val="0"/>
          <w:numId w:val="4"/>
        </w:numPr>
        <w:spacing w:before="113"/>
        <w:ind w:left="0" w:firstLine="0"/>
      </w:pPr>
      <w:proofErr w:type="spellStart"/>
      <w:r>
        <w:t>Prevádzkovateľ</w:t>
      </w:r>
      <w:proofErr w:type="spellEnd"/>
      <w:r>
        <w:t xml:space="preserve"> </w:t>
      </w:r>
      <w:proofErr w:type="spellStart"/>
      <w:r>
        <w:t>vyhlasuje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Sprostredkovateľa</w:t>
      </w:r>
      <w:proofErr w:type="spellEnd"/>
      <w:r>
        <w:t xml:space="preserve"> </w:t>
      </w:r>
      <w:proofErr w:type="spellStart"/>
      <w:r>
        <w:t>dbal</w:t>
      </w:r>
      <w:proofErr w:type="spellEnd"/>
      <w:r>
        <w:t xml:space="preserve"> na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odbornú</w:t>
      </w:r>
      <w:proofErr w:type="spellEnd"/>
      <w:r>
        <w:t xml:space="preserve">, </w:t>
      </w:r>
      <w:proofErr w:type="spellStart"/>
      <w:r>
        <w:t>technickú</w:t>
      </w:r>
      <w:proofErr w:type="spellEnd"/>
      <w:r>
        <w:t xml:space="preserve">, </w:t>
      </w:r>
      <w:proofErr w:type="spellStart"/>
      <w:r>
        <w:t>organizačnú</w:t>
      </w:r>
      <w:proofErr w:type="spellEnd"/>
      <w:r>
        <w:t xml:space="preserve"> a </w:t>
      </w:r>
      <w:proofErr w:type="spellStart"/>
      <w:r>
        <w:t>personálnu</w:t>
      </w:r>
      <w:proofErr w:type="spellEnd"/>
      <w:r>
        <w:t xml:space="preserve"> </w:t>
      </w:r>
      <w:proofErr w:type="spellStart"/>
      <w:r>
        <w:t>spôsobilosť</w:t>
      </w:r>
      <w:proofErr w:type="spellEnd"/>
      <w:r>
        <w:t xml:space="preserve"> a 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zaručiť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 xml:space="preserve"> </w:t>
      </w:r>
      <w:proofErr w:type="spellStart"/>
      <w:r>
        <w:t>spracúvaných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 a </w:t>
      </w:r>
      <w:proofErr w:type="spellStart"/>
      <w:r>
        <w:t>Zákonom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>, a 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prihliadal</w:t>
      </w:r>
      <w:proofErr w:type="spellEnd"/>
      <w:r>
        <w:t xml:space="preserve"> na to, aby </w:t>
      </w:r>
      <w:proofErr w:type="spellStart"/>
      <w:r>
        <w:t>udelením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poverenia</w:t>
      </w:r>
      <w:proofErr w:type="spellEnd"/>
      <w:r>
        <w:t xml:space="preserve"> na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neboli</w:t>
      </w:r>
      <w:proofErr w:type="spellEnd"/>
      <w:r>
        <w:t xml:space="preserve"> </w:t>
      </w:r>
      <w:proofErr w:type="spellStart"/>
      <w:r>
        <w:t>ohrozené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. </w:t>
      </w:r>
    </w:p>
    <w:p w:rsidR="00593E06" w:rsidRDefault="00593E06" w:rsidP="00593E06">
      <w:pPr>
        <w:numPr>
          <w:ilvl w:val="0"/>
          <w:numId w:val="4"/>
        </w:numPr>
        <w:spacing w:before="113"/>
        <w:ind w:left="0" w:firstLine="0"/>
        <w:rPr>
          <w:b/>
          <w:bCs/>
        </w:rPr>
      </w:pPr>
      <w:proofErr w:type="spellStart"/>
      <w:r>
        <w:t>Sprostredkovateľ</w:t>
      </w:r>
      <w:proofErr w:type="spellEnd"/>
      <w:r>
        <w:t xml:space="preserve"> </w:t>
      </w:r>
      <w:proofErr w:type="spellStart"/>
      <w:r>
        <w:t>vyhlasuje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odbornú</w:t>
      </w:r>
      <w:proofErr w:type="spellEnd"/>
      <w:r>
        <w:t xml:space="preserve">, </w:t>
      </w:r>
      <w:proofErr w:type="spellStart"/>
      <w:r>
        <w:t>technickú</w:t>
      </w:r>
      <w:proofErr w:type="spellEnd"/>
      <w:r>
        <w:t xml:space="preserve">, </w:t>
      </w:r>
      <w:proofErr w:type="spellStart"/>
      <w:r>
        <w:t>organizačnú</w:t>
      </w:r>
      <w:proofErr w:type="spellEnd"/>
      <w:r>
        <w:t xml:space="preserve"> a </w:t>
      </w:r>
      <w:proofErr w:type="spellStart"/>
      <w:r>
        <w:t>personálnu</w:t>
      </w:r>
      <w:proofErr w:type="spellEnd"/>
      <w:r>
        <w:t xml:space="preserve"> </w:t>
      </w:r>
      <w:proofErr w:type="spellStart"/>
      <w:r>
        <w:t>spôsobilosť</w:t>
      </w:r>
      <w:proofErr w:type="spellEnd"/>
      <w:r>
        <w:t xml:space="preserve"> na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 a </w:t>
      </w:r>
      <w:proofErr w:type="spellStart"/>
      <w:r>
        <w:t>Zákonom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. </w:t>
      </w:r>
      <w:proofErr w:type="spellStart"/>
      <w:r>
        <w:t>Sprostredkovateľ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dbať</w:t>
      </w:r>
      <w:proofErr w:type="spellEnd"/>
      <w:r>
        <w:t xml:space="preserve"> na to, aby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neboli</w:t>
      </w:r>
      <w:proofErr w:type="spellEnd"/>
      <w:r>
        <w:t xml:space="preserve"> </w:t>
      </w:r>
      <w:proofErr w:type="spellStart"/>
      <w:r>
        <w:t>ohrozené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>.</w:t>
      </w:r>
    </w:p>
    <w:p w:rsidR="00593E06" w:rsidRDefault="00593E06" w:rsidP="00593E06">
      <w:pPr>
        <w:spacing w:before="113"/>
        <w:rPr>
          <w:b/>
          <w:bCs/>
        </w:rPr>
      </w:pPr>
    </w:p>
    <w:p w:rsidR="00593E06" w:rsidRDefault="00593E06" w:rsidP="00593E06">
      <w:pPr>
        <w:keepNext/>
        <w:spacing w:before="567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Článok</w:t>
      </w:r>
      <w:proofErr w:type="spellEnd"/>
      <w:r>
        <w:rPr>
          <w:b/>
          <w:bCs/>
        </w:rPr>
        <w:t xml:space="preserve"> VI.</w:t>
      </w:r>
    </w:p>
    <w:p w:rsidR="00593E06" w:rsidRDefault="00593E06" w:rsidP="00593E06">
      <w:pPr>
        <w:jc w:val="center"/>
      </w:pPr>
      <w:proofErr w:type="spellStart"/>
      <w:r>
        <w:rPr>
          <w:b/>
          <w:bCs/>
        </w:rPr>
        <w:t>Osobitné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ustanovenia</w:t>
      </w:r>
      <w:proofErr w:type="spellEnd"/>
    </w:p>
    <w:p w:rsidR="00593E06" w:rsidRPr="004D4E1D" w:rsidRDefault="00593E06" w:rsidP="00593E06">
      <w:pPr>
        <w:numPr>
          <w:ilvl w:val="0"/>
          <w:numId w:val="5"/>
        </w:numPr>
        <w:spacing w:before="113"/>
        <w:ind w:left="0" w:firstLine="0"/>
        <w:rPr>
          <w:color w:val="000000" w:themeColor="text1"/>
        </w:rPr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uzatvára</w:t>
      </w:r>
      <w:proofErr w:type="spellEnd"/>
      <w:r>
        <w:t xml:space="preserve">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určitú</w:t>
      </w:r>
      <w:proofErr w:type="spellEnd"/>
      <w:r>
        <w:t xml:space="preserve">;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závislá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 w:rsidRPr="004D4E1D">
        <w:t>trvania</w:t>
      </w:r>
      <w:proofErr w:type="spellEnd"/>
      <w:r w:rsidRPr="004D4E1D">
        <w:rPr>
          <w:shd w:val="clear" w:color="auto" w:fill="FFFF00"/>
        </w:rPr>
        <w:t xml:space="preserve"> </w:t>
      </w:r>
      <w:r w:rsidR="00504971">
        <w:rPr>
          <w:shd w:val="clear" w:color="auto" w:fill="FFFF00"/>
        </w:rPr>
        <w:t>“</w:t>
      </w:r>
      <w:proofErr w:type="spellStart"/>
      <w:r w:rsidRPr="004D4E1D">
        <w:rPr>
          <w:color w:val="000000" w:themeColor="text1"/>
          <w:shd w:val="clear" w:color="auto" w:fill="FFFF00"/>
        </w:rPr>
        <w:t>Zmluvy</w:t>
      </w:r>
      <w:proofErr w:type="spellEnd"/>
      <w:r w:rsidRPr="004D4E1D">
        <w:rPr>
          <w:color w:val="000000" w:themeColor="text1"/>
          <w:shd w:val="clear" w:color="auto" w:fill="FFFF00"/>
        </w:rPr>
        <w:t xml:space="preserve"> o</w:t>
      </w:r>
      <w:r w:rsidR="004D4E1D" w:rsidRPr="004D4E1D">
        <w:rPr>
          <w:color w:val="000000" w:themeColor="text1"/>
          <w:shd w:val="clear" w:color="auto" w:fill="FFFF00"/>
        </w:rPr>
        <w:t xml:space="preserve"> </w:t>
      </w:r>
      <w:proofErr w:type="spellStart"/>
      <w:r w:rsidR="004D4E1D" w:rsidRPr="004D4E1D">
        <w:rPr>
          <w:color w:val="000000" w:themeColor="text1"/>
          <w:shd w:val="clear" w:color="auto" w:fill="FFFF00"/>
        </w:rPr>
        <w:t>Poskytovaní</w:t>
      </w:r>
      <w:proofErr w:type="spellEnd"/>
      <w:r w:rsidR="004D4E1D" w:rsidRPr="004D4E1D">
        <w:rPr>
          <w:color w:val="000000" w:themeColor="text1"/>
          <w:shd w:val="clear" w:color="auto" w:fill="FFFF00"/>
        </w:rPr>
        <w:t xml:space="preserve"> </w:t>
      </w:r>
      <w:proofErr w:type="spellStart"/>
      <w:r w:rsidR="004D4E1D" w:rsidRPr="004D4E1D">
        <w:rPr>
          <w:color w:val="000000" w:themeColor="text1"/>
          <w:shd w:val="clear" w:color="auto" w:fill="FFFF00"/>
        </w:rPr>
        <w:t>služieb</w:t>
      </w:r>
      <w:proofErr w:type="spellEnd"/>
      <w:r w:rsidR="004D4E1D" w:rsidRPr="004D4E1D">
        <w:rPr>
          <w:color w:val="000000" w:themeColor="text1"/>
          <w:shd w:val="clear" w:color="auto" w:fill="FFFF00"/>
        </w:rPr>
        <w:t xml:space="preserve"> č. </w:t>
      </w:r>
      <w:proofErr w:type="spellStart"/>
      <w:r w:rsidR="004D4E1D" w:rsidRPr="004D4E1D">
        <w:rPr>
          <w:color w:val="000000" w:themeColor="text1"/>
          <w:shd w:val="clear" w:color="auto" w:fill="FFFF00"/>
        </w:rPr>
        <w:t>MSD_Turčiansky</w:t>
      </w:r>
      <w:proofErr w:type="spellEnd"/>
      <w:r w:rsidR="004D4E1D" w:rsidRPr="004D4E1D">
        <w:rPr>
          <w:color w:val="000000" w:themeColor="text1"/>
          <w:shd w:val="clear" w:color="auto" w:fill="FFFF00"/>
        </w:rPr>
        <w:t xml:space="preserve"> Peter_01</w:t>
      </w:r>
      <w:r w:rsidR="00504971">
        <w:rPr>
          <w:color w:val="000000" w:themeColor="text1"/>
          <w:shd w:val="clear" w:color="auto" w:fill="FFFF00"/>
        </w:rPr>
        <w:t>”</w:t>
      </w:r>
      <w:r w:rsidRPr="004D4E1D">
        <w:rPr>
          <w:color w:val="000000" w:themeColor="text1"/>
          <w:shd w:val="clear" w:color="auto" w:fill="FFFF00"/>
        </w:rPr>
        <w:t xml:space="preserve"> zo </w:t>
      </w:r>
      <w:proofErr w:type="spellStart"/>
      <w:r w:rsidRPr="004D4E1D">
        <w:rPr>
          <w:color w:val="000000" w:themeColor="text1"/>
          <w:shd w:val="clear" w:color="auto" w:fill="FFFF00"/>
        </w:rPr>
        <w:t>dňa</w:t>
      </w:r>
      <w:proofErr w:type="spellEnd"/>
      <w:r w:rsidRPr="004D4E1D">
        <w:rPr>
          <w:color w:val="000000" w:themeColor="text1"/>
          <w:shd w:val="clear" w:color="auto" w:fill="FFFF00"/>
        </w:rPr>
        <w:t xml:space="preserve"> </w:t>
      </w:r>
      <w:r w:rsidR="004D4E1D" w:rsidRPr="004D4E1D">
        <w:rPr>
          <w:color w:val="000000" w:themeColor="text1"/>
          <w:shd w:val="clear" w:color="auto" w:fill="FFFF00"/>
        </w:rPr>
        <w:t>13.3.2017</w:t>
      </w:r>
      <w:r w:rsidRPr="004D4E1D">
        <w:rPr>
          <w:color w:val="000000" w:themeColor="text1"/>
          <w:shd w:val="clear" w:color="auto" w:fill="FFFF00"/>
        </w:rPr>
        <w:t>.</w:t>
      </w:r>
    </w:p>
    <w:p w:rsidR="00593E06" w:rsidRDefault="00593E06" w:rsidP="00593E06">
      <w:pPr>
        <w:numPr>
          <w:ilvl w:val="0"/>
          <w:numId w:val="5"/>
        </w:numPr>
        <w:spacing w:before="113"/>
        <w:ind w:left="0" w:firstLine="0"/>
        <w:rPr>
          <w:b/>
          <w:bCs/>
        </w:rPr>
      </w:pPr>
      <w:proofErr w:type="spellStart"/>
      <w:r>
        <w:t>Sprostredkovateľ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začať</w:t>
      </w:r>
      <w:proofErr w:type="spellEnd"/>
      <w:r>
        <w:t xml:space="preserve"> so </w:t>
      </w:r>
      <w:proofErr w:type="spellStart"/>
      <w:r>
        <w:t>spracúvaním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nadobudnutia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:rsidR="00593E06" w:rsidRDefault="00593E06" w:rsidP="00593E06">
      <w:pPr>
        <w:keepNext/>
        <w:spacing w:before="567"/>
        <w:jc w:val="center"/>
        <w:rPr>
          <w:b/>
          <w:bCs/>
        </w:rPr>
      </w:pPr>
      <w:proofErr w:type="spellStart"/>
      <w:r>
        <w:rPr>
          <w:b/>
          <w:bCs/>
        </w:rPr>
        <w:t>Článok</w:t>
      </w:r>
      <w:proofErr w:type="spellEnd"/>
      <w:r>
        <w:rPr>
          <w:b/>
          <w:bCs/>
        </w:rPr>
        <w:t xml:space="preserve"> VII.</w:t>
      </w:r>
    </w:p>
    <w:p w:rsidR="00593E06" w:rsidRDefault="00593E06" w:rsidP="00593E06">
      <w:pPr>
        <w:keepNext/>
        <w:jc w:val="center"/>
      </w:pPr>
      <w:proofErr w:type="spellStart"/>
      <w:r>
        <w:rPr>
          <w:b/>
          <w:bCs/>
        </w:rPr>
        <w:t>Záverečné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ustanovenia</w:t>
      </w:r>
      <w:proofErr w:type="spellEnd"/>
    </w:p>
    <w:p w:rsidR="00593E06" w:rsidRDefault="00593E06" w:rsidP="00593E06">
      <w:pPr>
        <w:numPr>
          <w:ilvl w:val="0"/>
          <w:numId w:val="6"/>
        </w:numPr>
        <w:spacing w:before="113"/>
        <w:ind w:left="0" w:firstLine="0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269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513/1991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v 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>.</w:t>
      </w:r>
    </w:p>
    <w:p w:rsidR="00593E06" w:rsidRDefault="00593E06" w:rsidP="00593E06">
      <w:pPr>
        <w:numPr>
          <w:ilvl w:val="0"/>
          <w:numId w:val="6"/>
        </w:numPr>
        <w:spacing w:before="113"/>
        <w:ind w:left="0" w:firstLine="0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a </w:t>
      </w:r>
      <w:proofErr w:type="spellStart"/>
      <w:r>
        <w:t>účinnosť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:rsidR="00593E06" w:rsidRDefault="00593E06" w:rsidP="00593E06">
      <w:pPr>
        <w:numPr>
          <w:ilvl w:val="0"/>
          <w:numId w:val="6"/>
        </w:numPr>
        <w:spacing w:before="113"/>
        <w:ind w:left="0" w:firstLine="0"/>
      </w:pP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dopĺňať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písomnou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predchádzajúcom</w:t>
      </w:r>
      <w:proofErr w:type="spellEnd"/>
      <w:r>
        <w:t xml:space="preserve"> </w:t>
      </w:r>
      <w:proofErr w:type="spellStart"/>
      <w:r>
        <w:t>súhlase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datovaných</w:t>
      </w:r>
      <w:proofErr w:type="spellEnd"/>
      <w:r>
        <w:t xml:space="preserve">, </w:t>
      </w:r>
      <w:proofErr w:type="spellStart"/>
      <w:r>
        <w:t>číslovaných</w:t>
      </w:r>
      <w:proofErr w:type="spellEnd"/>
      <w:r>
        <w:t xml:space="preserve"> a </w:t>
      </w:r>
      <w:proofErr w:type="spellStart"/>
      <w:r>
        <w:t>oboma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podpísaných</w:t>
      </w:r>
      <w:proofErr w:type="spellEnd"/>
      <w:r>
        <w:t xml:space="preserve"> </w:t>
      </w:r>
      <w:proofErr w:type="spellStart"/>
      <w:r>
        <w:t>dodatkov</w:t>
      </w:r>
      <w:proofErr w:type="spellEnd"/>
      <w:r>
        <w:t>.</w:t>
      </w:r>
    </w:p>
    <w:p w:rsidR="00593E06" w:rsidRDefault="00593E06" w:rsidP="00593E06">
      <w:pPr>
        <w:numPr>
          <w:ilvl w:val="0"/>
          <w:numId w:val="6"/>
        </w:numPr>
        <w:spacing w:before="113"/>
        <w:ind w:left="0" w:firstLine="0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spravuje</w:t>
      </w:r>
      <w:proofErr w:type="spellEnd"/>
      <w:r>
        <w:t xml:space="preserve"> </w:t>
      </w:r>
      <w:proofErr w:type="spellStart"/>
      <w:r>
        <w:t>slovenským</w:t>
      </w:r>
      <w:proofErr w:type="spellEnd"/>
      <w:r>
        <w:t xml:space="preserve">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poriadkom</w:t>
      </w:r>
      <w:proofErr w:type="spellEnd"/>
      <w:r>
        <w:t xml:space="preserve">. Na </w:t>
      </w:r>
      <w:proofErr w:type="spellStart"/>
      <w:r>
        <w:t>práva</w:t>
      </w:r>
      <w:proofErr w:type="spellEnd"/>
      <w:r>
        <w:t xml:space="preserve"> a 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explicitne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vzťahujú</w:t>
      </w:r>
      <w:proofErr w:type="spellEnd"/>
      <w:r>
        <w:t xml:space="preserve"> </w:t>
      </w:r>
      <w:proofErr w:type="spellStart"/>
      <w:r>
        <w:t>príslušné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predovšetkým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v 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 a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>.</w:t>
      </w:r>
    </w:p>
    <w:p w:rsidR="00593E06" w:rsidRDefault="00593E06" w:rsidP="00593E06">
      <w:pPr>
        <w:numPr>
          <w:ilvl w:val="0"/>
          <w:numId w:val="6"/>
        </w:numPr>
        <w:spacing w:before="113"/>
        <w:ind w:left="0" w:firstLine="0"/>
      </w:pPr>
      <w:bookmarkStart w:id="0" w:name="_GoBack"/>
      <w:bookmarkEnd w:id="0"/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vyhotoveniach</w:t>
      </w:r>
      <w:proofErr w:type="spellEnd"/>
      <w:r>
        <w:t xml:space="preserve"> </w:t>
      </w:r>
      <w:proofErr w:type="spellStart"/>
      <w:r>
        <w:t>rovnakej</w:t>
      </w:r>
      <w:proofErr w:type="spellEnd"/>
      <w:r>
        <w:t xml:space="preserve"> </w:t>
      </w:r>
      <w:proofErr w:type="spellStart"/>
      <w:r>
        <w:t>právnej</w:t>
      </w:r>
      <w:proofErr w:type="spellEnd"/>
      <w:r>
        <w:t xml:space="preserve"> </w:t>
      </w:r>
      <w:proofErr w:type="spellStart"/>
      <w:r>
        <w:t>sily</w:t>
      </w:r>
      <w:proofErr w:type="spellEnd"/>
      <w:r>
        <w:t xml:space="preserve"> v 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obdržia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datovanom</w:t>
      </w:r>
      <w:proofErr w:type="spellEnd"/>
      <w:r>
        <w:t xml:space="preserve"> a </w:t>
      </w:r>
      <w:proofErr w:type="spellStart"/>
      <w:r>
        <w:t>podpísanom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>.</w:t>
      </w:r>
    </w:p>
    <w:p w:rsidR="00593E06" w:rsidRDefault="00593E06" w:rsidP="00593E06">
      <w:pPr>
        <w:numPr>
          <w:ilvl w:val="0"/>
          <w:numId w:val="6"/>
        </w:numPr>
        <w:spacing w:before="113"/>
        <w:ind w:left="0" w:firstLine="0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vyhlasujú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pozorne</w:t>
      </w:r>
      <w:proofErr w:type="spellEnd"/>
      <w:r>
        <w:t xml:space="preserve"> </w:t>
      </w:r>
      <w:proofErr w:type="spellStart"/>
      <w:r>
        <w:t>prečítali</w:t>
      </w:r>
      <w:proofErr w:type="spellEnd"/>
      <w:r>
        <w:t xml:space="preserve">, </w:t>
      </w:r>
      <w:proofErr w:type="spellStart"/>
      <w:r>
        <w:t>pochopili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, </w:t>
      </w:r>
      <w:proofErr w:type="spellStart"/>
      <w:r>
        <w:t>význam</w:t>
      </w:r>
      <w:proofErr w:type="spellEnd"/>
      <w:r>
        <w:t xml:space="preserve"> a </w:t>
      </w:r>
      <w:proofErr w:type="spellStart"/>
      <w:r>
        <w:t>obsah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vyhlasujú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podpísali</w:t>
      </w:r>
      <w:proofErr w:type="spellEnd"/>
      <w:r>
        <w:t xml:space="preserve">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vlastnej</w:t>
      </w:r>
      <w:proofErr w:type="spellEnd"/>
      <w:r>
        <w:t xml:space="preserve">, </w:t>
      </w:r>
      <w:proofErr w:type="spellStart"/>
      <w:r>
        <w:t>slobodnej</w:t>
      </w:r>
      <w:proofErr w:type="spellEnd"/>
      <w:r>
        <w:t xml:space="preserve">, </w:t>
      </w:r>
      <w:proofErr w:type="spellStart"/>
      <w:r>
        <w:t>vážnej</w:t>
      </w:r>
      <w:proofErr w:type="spellEnd"/>
      <w:r>
        <w:t xml:space="preserve">, </w:t>
      </w:r>
      <w:proofErr w:type="spellStart"/>
      <w:r>
        <w:t>dobrovoľnej</w:t>
      </w:r>
      <w:proofErr w:type="spellEnd"/>
      <w:r>
        <w:t xml:space="preserve"> a </w:t>
      </w:r>
      <w:proofErr w:type="spellStart"/>
      <w:r>
        <w:t>dostatočne</w:t>
      </w:r>
      <w:proofErr w:type="spellEnd"/>
      <w:r>
        <w:t xml:space="preserve"> </w:t>
      </w:r>
      <w:proofErr w:type="spellStart"/>
      <w:r>
        <w:t>určito</w:t>
      </w:r>
      <w:proofErr w:type="spellEnd"/>
      <w:r>
        <w:t xml:space="preserve"> </w:t>
      </w:r>
      <w:proofErr w:type="spellStart"/>
      <w:r>
        <w:t>prejavenej</w:t>
      </w:r>
      <w:proofErr w:type="spellEnd"/>
      <w:r>
        <w:t xml:space="preserve"> </w:t>
      </w:r>
      <w:proofErr w:type="spellStart"/>
      <w:r>
        <w:t>vôle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vlastnoručnými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 xml:space="preserve"> pod </w:t>
      </w:r>
      <w:proofErr w:type="spellStart"/>
      <w:r>
        <w:t>ňou</w:t>
      </w:r>
      <w:proofErr w:type="spellEnd"/>
      <w:r>
        <w:t xml:space="preserve">. </w:t>
      </w:r>
    </w:p>
    <w:p w:rsidR="00593E06" w:rsidRDefault="00593E06" w:rsidP="00593E06"/>
    <w:p w:rsidR="00593E06" w:rsidRDefault="00593E06" w:rsidP="00593E06"/>
    <w:p w:rsidR="00593E06" w:rsidRDefault="00593E06" w:rsidP="00593E06"/>
    <w:p w:rsidR="00593E06" w:rsidRDefault="00593E06" w:rsidP="00593E06">
      <w:pPr>
        <w:rPr>
          <w:shd w:val="clear" w:color="auto" w:fill="FFFF00"/>
        </w:rPr>
      </w:pPr>
    </w:p>
    <w:p w:rsidR="00593E06" w:rsidRDefault="00593E06" w:rsidP="00593E06"/>
    <w:p w:rsidR="00593E06" w:rsidRDefault="00593E06" w:rsidP="00593E0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93E06" w:rsidTr="00593E06">
        <w:tc>
          <w:tcPr>
            <w:tcW w:w="4606" w:type="dxa"/>
          </w:tcPr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  <w:r>
              <w:t>________________________________</w:t>
            </w:r>
          </w:p>
          <w:p w:rsidR="00593E06" w:rsidRDefault="004D4E1D">
            <w:pPr>
              <w:jc w:val="center"/>
            </w:pPr>
            <w:r>
              <w:t xml:space="preserve">V </w:t>
            </w:r>
            <w:proofErr w:type="spellStart"/>
            <w:r>
              <w:t>Turčianskom</w:t>
            </w:r>
            <w:proofErr w:type="spellEnd"/>
            <w:r>
              <w:t xml:space="preserve"> </w:t>
            </w:r>
            <w:proofErr w:type="spellStart"/>
            <w:r>
              <w:t>Petre</w:t>
            </w:r>
            <w:proofErr w:type="spellEnd"/>
            <w:r w:rsidR="00593E06">
              <w:t xml:space="preserve"> </w:t>
            </w:r>
            <w:proofErr w:type="spellStart"/>
            <w:r>
              <w:t>dňa</w:t>
            </w:r>
            <w:proofErr w:type="spellEnd"/>
            <w:r>
              <w:t xml:space="preserve"> 29.11.2018</w:t>
            </w:r>
          </w:p>
          <w:p w:rsidR="00593E06" w:rsidRDefault="00593E06">
            <w:pPr>
              <w:jc w:val="center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Prevádzkovateľa</w:t>
            </w:r>
            <w:proofErr w:type="spellEnd"/>
            <w:r>
              <w:t>:</w:t>
            </w:r>
          </w:p>
          <w:p w:rsidR="004D4E1D" w:rsidRDefault="004D4E1D" w:rsidP="004D4E1D">
            <w:pPr>
              <w:tabs>
                <w:tab w:val="left" w:pos="1335"/>
              </w:tabs>
            </w:pPr>
            <w:r>
              <w:tab/>
              <w:t>Ondrej Výbošťok – starosta obce</w:t>
            </w:r>
          </w:p>
        </w:tc>
        <w:tc>
          <w:tcPr>
            <w:tcW w:w="4606" w:type="dxa"/>
          </w:tcPr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</w:p>
          <w:p w:rsidR="00593E06" w:rsidRDefault="00593E06">
            <w:pPr>
              <w:jc w:val="center"/>
            </w:pPr>
            <w:r>
              <w:t>_______________________________</w:t>
            </w:r>
          </w:p>
          <w:p w:rsidR="00593E06" w:rsidRDefault="00593E06">
            <w:pPr>
              <w:jc w:val="center"/>
            </w:pPr>
            <w:r>
              <w:t xml:space="preserve">V </w:t>
            </w:r>
            <w:proofErr w:type="spellStart"/>
            <w:r>
              <w:t>Bratislave</w:t>
            </w:r>
            <w:proofErr w:type="spellEnd"/>
            <w:r>
              <w:t xml:space="preserve">, </w:t>
            </w:r>
            <w:proofErr w:type="spellStart"/>
            <w:r>
              <w:t>dňa</w:t>
            </w:r>
            <w:proofErr w:type="spellEnd"/>
            <w:r>
              <w:t xml:space="preserve"> __.__.2018</w:t>
            </w:r>
          </w:p>
          <w:p w:rsidR="00593E06" w:rsidRDefault="00593E06">
            <w:pPr>
              <w:jc w:val="center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Sprostredkovateľa</w:t>
            </w:r>
            <w:proofErr w:type="spellEnd"/>
            <w:r>
              <w:t>:</w:t>
            </w:r>
          </w:p>
          <w:p w:rsidR="00593E06" w:rsidRDefault="00593E06">
            <w:pPr>
              <w:jc w:val="center"/>
            </w:pPr>
            <w:r>
              <w:t xml:space="preserve">Mgr. Ján </w:t>
            </w:r>
            <w:proofErr w:type="spellStart"/>
            <w:r>
              <w:t>Gašpárek</w:t>
            </w:r>
            <w:proofErr w:type="spellEnd"/>
            <w:r>
              <w:t xml:space="preserve">, </w:t>
            </w:r>
            <w:proofErr w:type="spellStart"/>
            <w:r>
              <w:t>konateľ</w:t>
            </w:r>
            <w:proofErr w:type="spellEnd"/>
          </w:p>
          <w:p w:rsidR="00593E06" w:rsidRDefault="00593E06">
            <w:pPr>
              <w:jc w:val="center"/>
            </w:pPr>
          </w:p>
        </w:tc>
      </w:tr>
    </w:tbl>
    <w:p w:rsidR="00593E06" w:rsidRDefault="00593E06" w:rsidP="00593E06">
      <w:pPr>
        <w:spacing w:before="567"/>
        <w:jc w:val="center"/>
        <w:rPr>
          <w:rFonts w:cs="Arial"/>
          <w:b/>
          <w:bCs/>
        </w:rPr>
      </w:pPr>
    </w:p>
    <w:p w:rsidR="00593E06" w:rsidRDefault="00593E06" w:rsidP="00593E06"/>
    <w:p w:rsidR="00525F88" w:rsidRDefault="00525F88"/>
    <w:sectPr w:rsidR="0052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F5E9C98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375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345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E62CD05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375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345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602865B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375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345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756AD6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375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345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33AA6D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375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345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6"/>
    <w:rsid w:val="004D4E1D"/>
    <w:rsid w:val="00504971"/>
    <w:rsid w:val="00525F88"/>
    <w:rsid w:val="00593E06"/>
    <w:rsid w:val="00825CC4"/>
    <w:rsid w:val="00E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9330-097C-4807-BDDA-50545C6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E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5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CC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</dc:creator>
  <cp:keywords/>
  <dc:description/>
  <cp:lastModifiedBy>VÝBOŠŤOK Ondrej</cp:lastModifiedBy>
  <cp:revision>4</cp:revision>
  <cp:lastPrinted>2018-11-29T10:58:00Z</cp:lastPrinted>
  <dcterms:created xsi:type="dcterms:W3CDTF">2018-11-29T10:54:00Z</dcterms:created>
  <dcterms:modified xsi:type="dcterms:W3CDTF">2018-11-29T11:06:00Z</dcterms:modified>
</cp:coreProperties>
</file>